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" cy="10692383"/>
            <wp:effectExtent b="0" l="0" r="0" t="0"/>
            <wp:wrapNone/>
            <wp:docPr descr="I:\Shared Folders\Documentations Weishardt\photos\Graulhet\produits\poisson.jpg" id="7" name="image2.jpg"/>
            <a:graphic>
              <a:graphicData uri="http://schemas.openxmlformats.org/drawingml/2006/picture">
                <pic:pic>
                  <pic:nvPicPr>
                    <pic:cNvPr descr="I:\Shared Folders\Documentations Weishardt\photos\Graulhet\produits\poisson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6923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594"/>
        </w:tabs>
        <w:spacing w:line="274" w:lineRule="auto"/>
        <w:ind w:left="1552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CERTIFICAT D’ANALYSES</w:t>
      </w:r>
    </w:p>
    <w:p w:rsidR="00000000" w:rsidDel="00000000" w:rsidP="00000000" w:rsidRDefault="00000000" w:rsidRPr="00000000" w14:paraId="00000004">
      <w:pPr>
        <w:tabs>
          <w:tab w:val="left" w:leader="none" w:pos="6594"/>
        </w:tabs>
        <w:spacing w:line="205" w:lineRule="auto"/>
        <w:ind w:left="1552" w:firstLine="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0"/>
        <w:gridCol w:w="3687"/>
        <w:gridCol w:w="1345"/>
        <w:gridCol w:w="2368"/>
        <w:tblGridChange w:id="0">
          <w:tblGrid>
            <w:gridCol w:w="1960"/>
            <w:gridCol w:w="3687"/>
            <w:gridCol w:w="1345"/>
            <w:gridCol w:w="2368"/>
          </w:tblGrid>
        </w:tblGridChange>
      </w:tblGrid>
      <w:tr>
        <w:trPr>
          <w:cantSplit w:val="0"/>
          <w:trHeight w:val="127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CLIENT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2781300" cy="7366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961700" y="3418050"/>
                                <a:ext cx="2768600" cy="723900"/>
                              </a:xfrm>
                              <a:custGeom>
                                <a:rect b="b" l="l" r="r" t="t"/>
                                <a:pathLst>
                                  <a:path extrusionOk="0" h="723900" w="2768600">
                                    <a:moveTo>
                                      <a:pt x="0" y="0"/>
                                    </a:moveTo>
                                    <a:lnTo>
                                      <a:pt x="0" y="723900"/>
                                    </a:lnTo>
                                    <a:lnTo>
                                      <a:pt x="2768600" y="723900"/>
                                    </a:lnTo>
                                    <a:lnTo>
                                      <a:pt x="2768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FFFFFF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Dample – Laboratoire Inolab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139 rue des Arts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59100 Roubaix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France 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38100</wp:posOffset>
                      </wp:positionV>
                      <wp:extent cx="2781300" cy="736600"/>
                      <wp:effectExtent b="0" l="0" r="0" t="0"/>
                      <wp:wrapNone/>
                      <wp:docPr id="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81300" cy="736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QUALITE 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ARTICLE :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NATICOL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®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BPMG – PREMIUM FISH COLLAGEN</w:t>
            </w:r>
            <w:r w:rsidDel="00000000" w:rsidR="00000000" w:rsidRPr="00000000">
              <w:pict>
                <v:group id="docshapegroup1" style="position:absolute;left:0;text-align:left;margin-left:220.5pt;margin-top:6.0pt;width:26.45pt;height:26.6pt;z-index:-251658240;mso-position-horizontal-relative:margin;mso-position-vertical-relative:text;mso-position-horizontal:absolute;mso-position-vertical:absolute;" coordsize="529,532" coordorigin="4285,82" o:spid="_x0000_s1026">
                  <v:shapetype id="_x0000_t75" coordsize="21600,21600" filled="f" stroked="f" o:spt="75.0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connecttype="rect" o:extrusionok="f" gradientshapeok="t"/>
                    <o:lock v:ext="edit" aspectratio="t"/>
                  </v:shapetype>
                  <v:shape id="docshape2" style="position:absolute;left:4285;top:81;width:532;height:535" o:spid="_x0000_s1027" type="#_x0000_t75">
                    <v:imagedata r:id="rId1" o:title=""/>
                  </v:shape>
                </v:group>
              </w:pic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FRIEND OF THE SEA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®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08G1003224*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LOT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083244313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QUANTITE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5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1 440 KG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DATE DE PREPARATION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3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11/2024</w:t>
            </w:r>
          </w:p>
        </w:tc>
        <w:tc>
          <w:tcPr>
            <w:tcBorders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48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DATE DE DURABILITE MINIMALE :</w:t>
            </w:r>
          </w:p>
        </w:tc>
        <w:tc>
          <w:tcPr>
            <w:tcBorders>
              <w:lef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50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11/2029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70.0" w:type="dxa"/>
        <w:tblLayout w:type="fixed"/>
        <w:tblLook w:val="0000"/>
      </w:tblPr>
      <w:tblGrid>
        <w:gridCol w:w="4923"/>
        <w:gridCol w:w="1197"/>
        <w:gridCol w:w="1176"/>
        <w:gridCol w:w="2064"/>
        <w:tblGridChange w:id="0">
          <w:tblGrid>
            <w:gridCol w:w="4923"/>
            <w:gridCol w:w="1197"/>
            <w:gridCol w:w="1176"/>
            <w:gridCol w:w="2064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CARACTERISTIQUES PHYSICO-CHIMIQUES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SPECIFICATION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Proteines (*)</w:t>
            </w:r>
          </w:p>
        </w:tc>
        <w:tc>
          <w:tcPr>
            <w:tcBorders>
              <w:top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2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 93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Poids moléculaire moyen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Viscosité (20%, 25°C)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36,2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 – 40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6,44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5,6 – 7,0</w:t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Conductivité (1%, 30°C)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0,155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mS/cm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Humidité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5,5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7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Goût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neutre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Odeur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neutre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Cendres (550°C)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Arsenic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Cadmium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0,5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Chrome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Cuivre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Mercure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0,15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0,15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Plomb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19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5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Zinc (*)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mg/kg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2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30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Granulométrie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conforme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microgranulé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CARACTERISTIQUES MICROBIOLOGIQUES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RESULTAT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UNITE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" w:line="240" w:lineRule="auto"/>
              <w:ind w:left="19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SPECIFICATION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Germes aérobies totaux</w:t>
            </w:r>
          </w:p>
        </w:tc>
        <w:tc>
          <w:tcPr>
            <w:tcBorders>
              <w:top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1000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 coli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10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absence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Spores d’anaérobies sulfito-réducteurs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Salmonelles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25 g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absence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Levures et Moisissures</w:t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 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dans 1 g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9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100</w:t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5" w:lineRule="auto"/>
        <w:ind w:left="273" w:right="118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 paramètres marqués d’un astérisque (*) sont analysés selon un plan d’analyses périodiques. Peptides de collagène marin certifiés durables issus de peaux de poissons.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6245858</wp:posOffset>
            </wp:positionH>
            <wp:positionV relativeFrom="paragraph">
              <wp:posOffset>-6483844</wp:posOffset>
            </wp:positionV>
            <wp:extent cx="504190" cy="8915400"/>
            <wp:effectExtent b="0" l="0" r="0" t="0"/>
            <wp:wrapNone/>
            <wp:docPr descr="I:\Shared Folders\Documentations Weishardt\photos\Graulhet\produits\poisson.jpg" id="8" name="image3.jpg"/>
            <a:graphic>
              <a:graphicData uri="http://schemas.openxmlformats.org/drawingml/2006/picture">
                <pic:pic>
                  <pic:nvPicPr>
                    <pic:cNvPr descr="I:\Shared Folders\Documentations Weishardt\photos\Graulhet\produits\poisson.jp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8915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" w:lineRule="auto"/>
        <w:ind w:left="27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Qualité conforme à la Pharmacopée Européenne en cours, à la Pharmacopée Américaine USP/NF en</w:t>
      </w:r>
    </w:p>
    <w:p w:rsidR="00000000" w:rsidDel="00000000" w:rsidP="00000000" w:rsidRDefault="00000000" w:rsidRPr="00000000" w14:paraId="0000008B">
      <w:pPr>
        <w:spacing w:before="1" w:lineRule="auto"/>
        <w:ind w:left="273" w:right="1185" w:firstLine="0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cours et aux exigences des règlements (EC) N° 853/2004, N° 2073/2005, au </w:t>
      </w:r>
      <w:r w:rsidDel="00000000" w:rsidR="00000000" w:rsidRPr="00000000">
        <w:rPr>
          <w:sz w:val="18"/>
          <w:szCs w:val="18"/>
          <w:rtl w:val="0"/>
        </w:rPr>
        <w:t xml:space="preserve">"GME standard code bacteriological specification food grade collagen peptides" et à votre exigence.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 collagène est certifié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3" w:right="11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L’utilisation de la marque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suppose que l’utilisateur ait préalablement obtenu un accord de licence Weishardt et Friend of the Sea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5854"/>
          <w:tab w:val="left" w:leader="none" w:pos="6754"/>
        </w:tabs>
        <w:spacing w:before="1" w:lineRule="auto"/>
        <w:ind w:left="273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1">
      <w:pPr>
        <w:tabs>
          <w:tab w:val="left" w:leader="none" w:pos="5854"/>
          <w:tab w:val="left" w:leader="none" w:pos="6754"/>
        </w:tabs>
        <w:spacing w:before="1" w:lineRule="auto"/>
        <w:ind w:left="273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92">
      <w:pPr>
        <w:tabs>
          <w:tab w:val="left" w:leader="none" w:pos="5854"/>
          <w:tab w:val="left" w:leader="none" w:pos="6754"/>
        </w:tabs>
        <w:spacing w:before="1" w:lineRule="auto"/>
        <w:ind w:left="273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5854"/>
          <w:tab w:val="left" w:leader="none" w:pos="6754"/>
        </w:tabs>
        <w:spacing w:before="1" w:lineRule="auto"/>
        <w:ind w:left="273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Date :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 février 2025</w:t>
      </w:r>
      <w:r w:rsidDel="00000000" w:rsidR="00000000" w:rsidRPr="00000000">
        <w:rPr>
          <w:rtl w:val="0"/>
        </w:rPr>
      </w:r>
    </w:p>
    <w:sectPr>
      <w:pgSz w:h="16840" w:w="11910" w:orient="portrait"/>
      <w:pgMar w:bottom="0" w:top="0" w:left="1275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75" w:lineRule="auto"/>
      <w:ind w:left="1552"/>
    </w:pPr>
    <w:rPr>
      <w:rFonts w:ascii="Arial" w:cs="Arial" w:eastAsia="Arial" w:hAnsi="Arial"/>
      <w:b w:val="1"/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E0F17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sid w:val="00BE0F17"/>
    <w:rPr>
      <w:sz w:val="20"/>
      <w:szCs w:val="20"/>
    </w:rPr>
  </w:style>
  <w:style w:type="paragraph" w:styleId="Paragraphedeliste">
    <w:name w:val="List Paragraph"/>
    <w:basedOn w:val="Normal"/>
    <w:uiPriority w:val="1"/>
    <w:qFormat w:val="1"/>
    <w:rsid w:val="00BE0F17"/>
  </w:style>
  <w:style w:type="paragraph" w:styleId="TableParagraph" w:customStyle="1">
    <w:name w:val="Table Paragraph"/>
    <w:basedOn w:val="Normal"/>
    <w:uiPriority w:val="1"/>
    <w:qFormat w:val="1"/>
    <w:rsid w:val="00BE0F17"/>
    <w:pPr>
      <w:ind w:left="113"/>
    </w:p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E965AB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E965AB"/>
    <w:rPr>
      <w:rFonts w:ascii="Tahoma" w:cs="Tahoma" w:eastAsia="Arial MT" w:hAnsi="Tahoma"/>
      <w:sz w:val="16"/>
      <w:szCs w:val="16"/>
      <w:lang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3.jpg"/><Relationship Id="rId9" Type="http://schemas.openxmlformats.org/officeDocument/2006/relationships/image" Target="media/image4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JQR+JDGnPOQd/7D2owFTnitZA==">CgMxLjA4AHIhMVJaNjdscE9BcG4xclFLOUYtS2RFYUpxYWFaTmxPSGhl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2025-07-16T10:36:00Z</dcterms:created>
  <dc:creator>pjolimaitr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